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>Załącznik nr 1.5 do Zarządzenia Rektora UR  nr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235C1E83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D31A0F">
        <w:rPr>
          <w:rFonts w:ascii="Corbel" w:hAnsi="Corbel"/>
          <w:smallCaps/>
          <w:sz w:val="24"/>
          <w:szCs w:val="24"/>
        </w:rPr>
        <w:t>1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D31A0F">
        <w:rPr>
          <w:rFonts w:ascii="Corbel" w:hAnsi="Corbel"/>
          <w:smallCaps/>
          <w:sz w:val="24"/>
          <w:szCs w:val="24"/>
        </w:rPr>
        <w:t>3</w:t>
      </w:r>
    </w:p>
    <w:p w14:paraId="5C9341E2" w14:textId="5D8A8C4C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D31A0F">
        <w:rPr>
          <w:rFonts w:ascii="Corbel" w:hAnsi="Corbel"/>
          <w:sz w:val="20"/>
          <w:szCs w:val="20"/>
        </w:rPr>
        <w:t>2</w:t>
      </w:r>
      <w:r w:rsidRPr="009234BC">
        <w:rPr>
          <w:rFonts w:ascii="Corbel" w:hAnsi="Corbel"/>
          <w:sz w:val="20"/>
          <w:szCs w:val="20"/>
        </w:rPr>
        <w:t>/202</w:t>
      </w:r>
      <w:r w:rsidR="00D31A0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1672BD8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36A3C119" w:rsidR="0085747A" w:rsidRPr="009234BC" w:rsidRDefault="0073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E/II/EUB/C-1.1c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9234BC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506AA52C" w:rsidR="00AB7A41" w:rsidRPr="009234BC" w:rsidRDefault="007355EA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23B42B1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zaliczenie z oceną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1E02D09D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grupowania kosztów w różnych przekrojach i wariantach ewidencyjnych, z uwzględnieniem rozliczeń międzyokresowych czynnych i biernych oraz ustalania wyniku finansowego.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224DA1C4" w:rsidR="009770A1" w:rsidRPr="009234BC" w:rsidRDefault="3F22FEE4" w:rsidP="7808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>Zna i rozumie w pogłębionym stopniu różne warianty ewidencyjne i sprawozdawcze kosztów i ich znaczenie w procesie zarządzania.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77777777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0A1" w:rsidRPr="009234BC" w14:paraId="3CCF6BD1" w14:textId="77777777" w:rsidTr="009770A1">
        <w:tc>
          <w:tcPr>
            <w:tcW w:w="9520" w:type="dxa"/>
          </w:tcPr>
          <w:p w14:paraId="0E10FD3B" w14:textId="05CA5AB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</w:p>
        </w:tc>
      </w:tr>
      <w:tr w:rsidR="009770A1" w:rsidRPr="009234BC" w14:paraId="3119AE13" w14:textId="77777777" w:rsidTr="009770A1">
        <w:tc>
          <w:tcPr>
            <w:tcW w:w="9520" w:type="dxa"/>
          </w:tcPr>
          <w:p w14:paraId="70A62656" w14:textId="3F0621A6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Rozliczenia międzyokresowe kosztów – czynne i bierne.</w:t>
            </w:r>
          </w:p>
        </w:tc>
      </w:tr>
      <w:tr w:rsidR="009770A1" w:rsidRPr="009234BC" w14:paraId="3F677D7C" w14:textId="77777777" w:rsidTr="009770A1">
        <w:tc>
          <w:tcPr>
            <w:tcW w:w="9520" w:type="dxa"/>
          </w:tcPr>
          <w:p w14:paraId="16B52C0C" w14:textId="6945C5FA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kalkulacyjny, rachunek zysków i strat kalkulacyjny.</w:t>
            </w:r>
          </w:p>
        </w:tc>
      </w:tr>
      <w:tr w:rsidR="009770A1" w:rsidRPr="009234BC" w14:paraId="4DE2BB3E" w14:textId="77777777" w:rsidTr="009770A1">
        <w:tc>
          <w:tcPr>
            <w:tcW w:w="9520" w:type="dxa"/>
          </w:tcPr>
          <w:p w14:paraId="1138DF7F" w14:textId="34C8FE82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Ustalanie wyniku finansowego w wariancie porównawczy, rachunek zysków i strat porównawczy.</w:t>
            </w:r>
          </w:p>
        </w:tc>
      </w:tr>
      <w:tr w:rsidR="009770A1" w:rsidRPr="009234BC" w14:paraId="3F6BE7A0" w14:textId="77777777" w:rsidTr="009770A1">
        <w:tc>
          <w:tcPr>
            <w:tcW w:w="9520" w:type="dxa"/>
          </w:tcPr>
          <w:p w14:paraId="7C681148" w14:textId="1DD89047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color w:val="000000"/>
                <w:sz w:val="24"/>
                <w:szCs w:val="24"/>
              </w:rPr>
              <w:t xml:space="preserve">Koszt wytworzenia jako podstawa wyceny produktów: wycena produktów według kosztów rzeczywistych oraz planowanych, ustalanie i rozliczanie odchyleń. </w:t>
            </w:r>
          </w:p>
        </w:tc>
      </w:tr>
      <w:tr w:rsidR="009770A1" w:rsidRPr="009234BC" w14:paraId="3B1CB2F1" w14:textId="77777777" w:rsidTr="009770A1">
        <w:tc>
          <w:tcPr>
            <w:tcW w:w="9520" w:type="dxa"/>
          </w:tcPr>
          <w:p w14:paraId="29A1B154" w14:textId="1823BF79" w:rsidR="009770A1" w:rsidRPr="009234BC" w:rsidRDefault="009770A1" w:rsidP="006B4C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Kalkulacja kosztów jednostkowych: dobór metod kalkulacyjnych z uwzględnieniem profilu działalności oraz specyfiki procesu technologicznego.</w:t>
            </w:r>
          </w:p>
        </w:tc>
      </w:tr>
    </w:tbl>
    <w:p w14:paraId="57098FB5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35565" w14:textId="632443C3" w:rsidR="009770A1" w:rsidRPr="009234BC" w:rsidRDefault="009770A1" w:rsidP="00977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praca zespołowa, rozwiązywanie zdań, dyskusja, analiza i interpretacja danych finansowych. 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333FCBB7" w14:textId="24C0404A" w:rsidR="009770A1" w:rsidRPr="009234BC" w:rsidRDefault="007355EA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9770A1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177041F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3DE5EE88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38FCA602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4F7962F5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7ED62EBC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79CBEB6A" w14:textId="77777777" w:rsidR="009770A1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0EB6276F" w14:textId="7797E0BC" w:rsidR="0085747A" w:rsidRPr="009234BC" w:rsidRDefault="009770A1" w:rsidP="006B4C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3F19ABD2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34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34BC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4E69D5F0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53DB94CB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9E824F0" w:rsidR="009770A1" w:rsidRPr="009234BC" w:rsidRDefault="009770A1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234BC" w14:paraId="704CC3F3" w14:textId="77777777" w:rsidTr="78083821">
        <w:trPr>
          <w:trHeight w:val="397"/>
        </w:trPr>
        <w:tc>
          <w:tcPr>
            <w:tcW w:w="5000" w:type="pct"/>
          </w:tcPr>
          <w:p w14:paraId="2DB59A87" w14:textId="1896E486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Literatura podstawowa:</w:t>
            </w:r>
          </w:p>
          <w:p w14:paraId="599A5CB5" w14:textId="14C7BCF2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2017.</w:t>
            </w:r>
          </w:p>
          <w:p w14:paraId="006A938C" w14:textId="2553591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36E452E4" w14:textId="2111EADB" w:rsidR="009770A1" w:rsidRPr="009234BC" w:rsidRDefault="4E13F60D" w:rsidP="7808382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Rabiej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Rachunek kosztów leczenia w aspekcie wyceny świadczeń zdrowotnych, Uniwersytet Rzeszowski, Rzeszów 2013.</w:t>
            </w:r>
          </w:p>
        </w:tc>
      </w:tr>
      <w:tr w:rsidR="0085747A" w:rsidRPr="009234BC" w14:paraId="25F6E9D9" w14:textId="77777777" w:rsidTr="78083821">
        <w:trPr>
          <w:trHeight w:val="397"/>
        </w:trPr>
        <w:tc>
          <w:tcPr>
            <w:tcW w:w="5000" w:type="pct"/>
          </w:tcPr>
          <w:p w14:paraId="29805B49" w14:textId="32DDD341" w:rsidR="009770A1" w:rsidRPr="009234BC" w:rsidRDefault="4E13F60D" w:rsidP="78083821">
            <w:pPr>
              <w:pStyle w:val="Punktygwne"/>
              <w:spacing w:before="0" w:after="0"/>
              <w:jc w:val="both"/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3D768012" w14:textId="6FB7C703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G.K., Controlling kosztów i rachunkowość zarządcza,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2017.</w:t>
            </w:r>
          </w:p>
          <w:p w14:paraId="45797FFD" w14:textId="74CF1B0F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2017.</w:t>
            </w:r>
          </w:p>
          <w:p w14:paraId="4C063A49" w14:textId="361E4EE5" w:rsidR="009770A1" w:rsidRPr="009234BC" w:rsidRDefault="4E13F60D" w:rsidP="78083821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 w:themeColor="text1"/>
              </w:rPr>
              <w:t>Trentowska M., Zbiór zadań z rachunku kosztów, podstaw rachunkowości zarządczej i zarządzania finansami, Stowarzyszenie Księgowych w Polsce, Warszawa 2018.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62FF7" w14:textId="77777777" w:rsidR="001933B5" w:rsidRDefault="001933B5" w:rsidP="00C16ABF">
      <w:pPr>
        <w:spacing w:after="0" w:line="240" w:lineRule="auto"/>
      </w:pPr>
      <w:r>
        <w:separator/>
      </w:r>
    </w:p>
  </w:endnote>
  <w:endnote w:type="continuationSeparator" w:id="0">
    <w:p w14:paraId="7154D957" w14:textId="77777777" w:rsidR="001933B5" w:rsidRDefault="001933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3B299" w14:textId="77777777" w:rsidR="001933B5" w:rsidRDefault="001933B5" w:rsidP="00C16ABF">
      <w:pPr>
        <w:spacing w:after="0" w:line="240" w:lineRule="auto"/>
      </w:pPr>
      <w:r>
        <w:separator/>
      </w:r>
    </w:p>
  </w:footnote>
  <w:footnote w:type="continuationSeparator" w:id="0">
    <w:p w14:paraId="280E3CA3" w14:textId="77777777" w:rsidR="001933B5" w:rsidRDefault="001933B5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4E0E5-B4AD-4A92-9C97-4D030996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875BF-133B-4EED-A085-270D20A8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837</Words>
  <Characters>5024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2020-10-22T11:04:00Z</cp:lastPrinted>
  <dcterms:created xsi:type="dcterms:W3CDTF">2020-11-27T16:49:00Z</dcterms:created>
  <dcterms:modified xsi:type="dcterms:W3CDTF">2021-09-06T06:00:00Z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